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E84B3" w14:textId="77777777" w:rsidR="00213A88" w:rsidRDefault="002121D6">
      <w:pPr>
        <w:rPr>
          <w:rFonts w:ascii="Verdana" w:hAnsi="Verdana"/>
          <w:sz w:val="32"/>
          <w:szCs w:val="32"/>
        </w:rPr>
      </w:pPr>
      <w:r>
        <w:rPr>
          <w:rFonts w:ascii="Verdana" w:hAnsi="Verdana"/>
          <w:sz w:val="32"/>
          <w:szCs w:val="32"/>
        </w:rPr>
        <w:t>Facilitating Scenarios</w:t>
      </w:r>
    </w:p>
    <w:p w14:paraId="3D658CC9" w14:textId="77777777" w:rsidR="006F3AE9" w:rsidRPr="00073D7E" w:rsidRDefault="006F3AE9" w:rsidP="00073D7E">
      <w:pPr>
        <w:pBdr>
          <w:top w:val="single" w:sz="48" w:space="1" w:color="E36C0A" w:themeColor="accent6" w:themeShade="BF"/>
        </w:pBdr>
        <w:spacing w:line="240" w:lineRule="auto"/>
        <w:rPr>
          <w:rFonts w:ascii="Verdana" w:hAnsi="Verdana"/>
          <w:sz w:val="16"/>
          <w:szCs w:val="16"/>
        </w:rPr>
      </w:pPr>
    </w:p>
    <w:p w14:paraId="7BD6D8FA" w14:textId="77777777" w:rsidR="00A215B8" w:rsidRPr="00073D7E" w:rsidRDefault="00A215B8" w:rsidP="00A215B8">
      <w:pPr>
        <w:autoSpaceDE w:val="0"/>
        <w:autoSpaceDN w:val="0"/>
        <w:adjustRightInd w:val="0"/>
        <w:spacing w:after="0" w:line="240" w:lineRule="auto"/>
        <w:rPr>
          <w:rFonts w:ascii="Verdana" w:hAnsi="Verdana" w:cs="MyriadPro-Bold"/>
          <w:b/>
          <w:bCs/>
          <w:sz w:val="24"/>
          <w:szCs w:val="24"/>
        </w:rPr>
      </w:pPr>
      <w:r w:rsidRPr="00073D7E">
        <w:rPr>
          <w:rFonts w:ascii="Verdana" w:hAnsi="Verdana" w:cs="MyriadPro-Bold"/>
          <w:b/>
          <w:bCs/>
          <w:sz w:val="24"/>
          <w:szCs w:val="24"/>
        </w:rPr>
        <w:t>Role of candidates</w:t>
      </w:r>
    </w:p>
    <w:p w14:paraId="7C4EE67A" w14:textId="77777777" w:rsidR="00A215B8" w:rsidRPr="00073D7E" w:rsidRDefault="00A215B8" w:rsidP="00A215B8">
      <w:pPr>
        <w:autoSpaceDE w:val="0"/>
        <w:autoSpaceDN w:val="0"/>
        <w:adjustRightInd w:val="0"/>
        <w:spacing w:after="0" w:line="240" w:lineRule="auto"/>
        <w:rPr>
          <w:rFonts w:ascii="Verdana" w:hAnsi="Verdana" w:cs="MyriadPro-Bold"/>
          <w:b/>
          <w:bCs/>
          <w:color w:val="3657A8"/>
          <w:sz w:val="24"/>
          <w:szCs w:val="24"/>
        </w:rPr>
      </w:pPr>
    </w:p>
    <w:p w14:paraId="79ECD9AB" w14:textId="77777777" w:rsidR="009E0BBE" w:rsidRPr="00E54A61" w:rsidRDefault="00A215B8" w:rsidP="00073D7E">
      <w:pPr>
        <w:autoSpaceDE w:val="0"/>
        <w:autoSpaceDN w:val="0"/>
        <w:adjustRightInd w:val="0"/>
        <w:spacing w:after="0" w:line="240" w:lineRule="auto"/>
        <w:rPr>
          <w:rFonts w:ascii="Verdana" w:hAnsi="Verdana" w:cs="MyriadPro-Regular"/>
          <w:color w:val="222221"/>
        </w:rPr>
      </w:pPr>
      <w:r w:rsidRPr="00E54A61">
        <w:rPr>
          <w:rFonts w:ascii="Verdana" w:hAnsi="Verdana" w:cs="MyriadPro-Regular"/>
          <w:color w:val="222221"/>
        </w:rPr>
        <w:t xml:space="preserve">In order to make simulations relevant to candidates’ day to day work, ensure that they are placed in a role matching their own. </w:t>
      </w:r>
      <w:r w:rsidR="009E0BBE">
        <w:rPr>
          <w:rFonts w:ascii="Verdana" w:hAnsi="Verdana" w:cs="MyriadPro-Regular"/>
          <w:color w:val="222221"/>
        </w:rPr>
        <w:t xml:space="preserve"> The scene you set, however, will require the candidate to be responsible for clinical assessment and clinical decision making. </w:t>
      </w:r>
      <w:r w:rsidRPr="00E54A61">
        <w:rPr>
          <w:rFonts w:ascii="Verdana" w:hAnsi="Verdana" w:cs="MyriadPro-Regular"/>
          <w:color w:val="222221"/>
        </w:rPr>
        <w:t>Although it is critical that the identified candidate leads the activity, other members of</w:t>
      </w:r>
      <w:r w:rsidR="00073D7E" w:rsidRPr="00E54A61">
        <w:rPr>
          <w:rFonts w:ascii="Verdana" w:hAnsi="Verdana" w:cs="MyriadPro-Regular"/>
          <w:color w:val="222221"/>
        </w:rPr>
        <w:t xml:space="preserve"> </w:t>
      </w:r>
      <w:r w:rsidRPr="00E54A61">
        <w:rPr>
          <w:rFonts w:ascii="Verdana" w:hAnsi="Verdana" w:cs="MyriadPro-Regular"/>
          <w:color w:val="222221"/>
        </w:rPr>
        <w:t xml:space="preserve">the group </w:t>
      </w:r>
      <w:r w:rsidR="00073D7E" w:rsidRPr="00E54A61">
        <w:rPr>
          <w:rFonts w:ascii="Verdana" w:hAnsi="Verdana" w:cs="MyriadPro-Regular"/>
          <w:color w:val="222221"/>
        </w:rPr>
        <w:t>can</w:t>
      </w:r>
      <w:r w:rsidRPr="00E54A61">
        <w:rPr>
          <w:rFonts w:ascii="Verdana" w:hAnsi="Verdana" w:cs="MyriadPro-Regular"/>
          <w:color w:val="222221"/>
        </w:rPr>
        <w:t xml:space="preserve"> be involved as part of the team</w:t>
      </w:r>
      <w:r w:rsidR="00073D7E" w:rsidRPr="00E54A61">
        <w:rPr>
          <w:rFonts w:ascii="Verdana" w:hAnsi="Verdana" w:cs="MyriadPro-Regular"/>
          <w:color w:val="222221"/>
        </w:rPr>
        <w:t xml:space="preserve"> as directed by the candidate who is leading the </w:t>
      </w:r>
      <w:r w:rsidR="002121D6">
        <w:rPr>
          <w:rFonts w:ascii="Verdana" w:hAnsi="Verdana" w:cs="MyriadPro-Regular"/>
          <w:color w:val="222221"/>
        </w:rPr>
        <w:t>resuscitation</w:t>
      </w:r>
      <w:r w:rsidR="00073D7E" w:rsidRPr="00E54A61">
        <w:rPr>
          <w:rFonts w:ascii="Verdana" w:hAnsi="Verdana" w:cs="MyriadPro-Regular"/>
          <w:color w:val="222221"/>
        </w:rPr>
        <w:t>.  The lead candidate is expected to</w:t>
      </w:r>
    </w:p>
    <w:p w14:paraId="0E675F00" w14:textId="77777777" w:rsidR="00073D7E" w:rsidRDefault="0033195E" w:rsidP="00073D7E">
      <w:pPr>
        <w:pStyle w:val="ListParagraph"/>
        <w:numPr>
          <w:ilvl w:val="0"/>
          <w:numId w:val="5"/>
        </w:numPr>
        <w:autoSpaceDE w:val="0"/>
        <w:autoSpaceDN w:val="0"/>
        <w:adjustRightInd w:val="0"/>
        <w:spacing w:after="0" w:line="240" w:lineRule="auto"/>
        <w:rPr>
          <w:rFonts w:ascii="Verdana" w:hAnsi="Verdana" w:cs="MyriadPro-Regular"/>
          <w:color w:val="222221"/>
        </w:rPr>
      </w:pPr>
      <w:r>
        <w:rPr>
          <w:rFonts w:ascii="Verdana" w:hAnsi="Verdana" w:cs="MyriadPro-Regular"/>
          <w:color w:val="222221"/>
        </w:rPr>
        <w:t>talk</w:t>
      </w:r>
      <w:r w:rsidR="009E0BBE">
        <w:rPr>
          <w:rFonts w:ascii="Verdana" w:hAnsi="Verdana" w:cs="MyriadPro-Regular"/>
          <w:color w:val="222221"/>
        </w:rPr>
        <w:t xml:space="preserve"> through preparation, planning and writing on whiteboard (ABCDE)</w:t>
      </w:r>
    </w:p>
    <w:p w14:paraId="2EB42971" w14:textId="77777777" w:rsidR="009E0BBE" w:rsidRPr="00E54A61" w:rsidRDefault="009E0BBE" w:rsidP="00073D7E">
      <w:pPr>
        <w:pStyle w:val="ListParagraph"/>
        <w:numPr>
          <w:ilvl w:val="0"/>
          <w:numId w:val="5"/>
        </w:numPr>
        <w:autoSpaceDE w:val="0"/>
        <w:autoSpaceDN w:val="0"/>
        <w:adjustRightInd w:val="0"/>
        <w:spacing w:after="0" w:line="240" w:lineRule="auto"/>
        <w:rPr>
          <w:rFonts w:ascii="Verdana" w:hAnsi="Verdana" w:cs="MyriadPro-Regular"/>
          <w:color w:val="222221"/>
        </w:rPr>
      </w:pPr>
      <w:r w:rsidRPr="00E54A61">
        <w:rPr>
          <w:rFonts w:ascii="Verdana" w:hAnsi="Verdana" w:cs="MyriadPro-Regular"/>
          <w:color w:val="222221"/>
        </w:rPr>
        <w:t>examine the manikin</w:t>
      </w:r>
    </w:p>
    <w:p w14:paraId="50A68E7F" w14:textId="77777777" w:rsidR="00073D7E" w:rsidRPr="00E54A61" w:rsidRDefault="00073D7E" w:rsidP="00073D7E">
      <w:pPr>
        <w:pStyle w:val="ListParagraph"/>
        <w:numPr>
          <w:ilvl w:val="0"/>
          <w:numId w:val="5"/>
        </w:numPr>
        <w:autoSpaceDE w:val="0"/>
        <w:autoSpaceDN w:val="0"/>
        <w:adjustRightInd w:val="0"/>
        <w:spacing w:after="0" w:line="240" w:lineRule="auto"/>
        <w:rPr>
          <w:rFonts w:ascii="Verdana" w:hAnsi="Verdana" w:cs="MyriadPro-Regular"/>
          <w:color w:val="222221"/>
        </w:rPr>
      </w:pPr>
      <w:r w:rsidRPr="00E54A61">
        <w:rPr>
          <w:rFonts w:ascii="Verdana" w:hAnsi="Verdana" w:cs="MyriadPro-Regular"/>
          <w:color w:val="222221"/>
        </w:rPr>
        <w:t xml:space="preserve">guide the assistance in their roles as assistants and </w:t>
      </w:r>
    </w:p>
    <w:p w14:paraId="20B56BB1" w14:textId="77777777" w:rsidR="00A215B8" w:rsidRPr="00E54A61" w:rsidRDefault="00073D7E" w:rsidP="00073D7E">
      <w:pPr>
        <w:pStyle w:val="ListParagraph"/>
        <w:numPr>
          <w:ilvl w:val="0"/>
          <w:numId w:val="5"/>
        </w:numPr>
        <w:autoSpaceDE w:val="0"/>
        <w:autoSpaceDN w:val="0"/>
        <w:adjustRightInd w:val="0"/>
        <w:spacing w:after="0" w:line="240" w:lineRule="auto"/>
        <w:rPr>
          <w:rFonts w:ascii="Verdana" w:hAnsi="Verdana" w:cs="MyriadPro-Regular"/>
          <w:color w:val="222221"/>
        </w:rPr>
      </w:pPr>
      <w:r w:rsidRPr="00E54A61">
        <w:rPr>
          <w:rFonts w:ascii="Verdana" w:hAnsi="Verdana" w:cs="MyriadPro-Regular"/>
          <w:color w:val="222221"/>
        </w:rPr>
        <w:t>maintain responsibility for team members actions.</w:t>
      </w:r>
      <w:r w:rsidR="00A215B8" w:rsidRPr="00E54A61">
        <w:rPr>
          <w:rFonts w:ascii="Verdana" w:hAnsi="Verdana" w:cs="MyriadPro-Regular"/>
          <w:color w:val="222221"/>
        </w:rPr>
        <w:t xml:space="preserve"> </w:t>
      </w:r>
    </w:p>
    <w:p w14:paraId="6AF118B3" w14:textId="77777777" w:rsidR="00A215B8" w:rsidRPr="00073D7E" w:rsidRDefault="00A215B8" w:rsidP="00A215B8">
      <w:pPr>
        <w:autoSpaceDE w:val="0"/>
        <w:autoSpaceDN w:val="0"/>
        <w:adjustRightInd w:val="0"/>
        <w:spacing w:after="0" w:line="240" w:lineRule="auto"/>
        <w:rPr>
          <w:rFonts w:ascii="Verdana" w:hAnsi="Verdana" w:cs="MyriadPro-Regular"/>
          <w:color w:val="222221"/>
          <w:sz w:val="24"/>
          <w:szCs w:val="24"/>
        </w:rPr>
      </w:pPr>
    </w:p>
    <w:p w14:paraId="3E4D7C18" w14:textId="77777777" w:rsidR="00A215B8" w:rsidRPr="00073D7E" w:rsidRDefault="00A215B8" w:rsidP="00A215B8">
      <w:pPr>
        <w:autoSpaceDE w:val="0"/>
        <w:autoSpaceDN w:val="0"/>
        <w:adjustRightInd w:val="0"/>
        <w:spacing w:after="0" w:line="240" w:lineRule="auto"/>
        <w:rPr>
          <w:rFonts w:ascii="Verdana" w:hAnsi="Verdana" w:cs="MyriadPro-Bold"/>
          <w:b/>
          <w:bCs/>
          <w:sz w:val="24"/>
          <w:szCs w:val="24"/>
        </w:rPr>
      </w:pPr>
      <w:r w:rsidRPr="00073D7E">
        <w:rPr>
          <w:rFonts w:ascii="Verdana" w:hAnsi="Verdana" w:cs="MyriadPro-Bold"/>
          <w:b/>
          <w:bCs/>
          <w:sz w:val="24"/>
          <w:szCs w:val="24"/>
        </w:rPr>
        <w:t>Weight estimation and drug calculations</w:t>
      </w:r>
    </w:p>
    <w:p w14:paraId="3D9E824E" w14:textId="77777777" w:rsidR="00073D7E" w:rsidRPr="00073D7E" w:rsidRDefault="00073D7E" w:rsidP="00A215B8">
      <w:pPr>
        <w:autoSpaceDE w:val="0"/>
        <w:autoSpaceDN w:val="0"/>
        <w:adjustRightInd w:val="0"/>
        <w:spacing w:after="0" w:line="240" w:lineRule="auto"/>
        <w:rPr>
          <w:rFonts w:ascii="Verdana" w:hAnsi="Verdana" w:cs="MyriadPro-Bold"/>
          <w:b/>
          <w:bCs/>
          <w:sz w:val="24"/>
          <w:szCs w:val="24"/>
        </w:rPr>
      </w:pPr>
    </w:p>
    <w:p w14:paraId="04F9BF29" w14:textId="77777777" w:rsidR="00073D7E" w:rsidRPr="00E54A61" w:rsidRDefault="00073D7E" w:rsidP="00073D7E">
      <w:pPr>
        <w:suppressAutoHyphens/>
        <w:spacing w:after="0" w:line="240" w:lineRule="atLeast"/>
        <w:rPr>
          <w:rFonts w:ascii="Verdana" w:eastAsia="Times New Roman" w:hAnsi="Verdana" w:cs="Times New Roman"/>
          <w:lang w:eastAsia="en-GB"/>
        </w:rPr>
      </w:pPr>
      <w:r w:rsidRPr="00E54A61">
        <w:rPr>
          <w:rFonts w:ascii="Verdana" w:eastAsia="Times New Roman" w:hAnsi="Verdana" w:cs="Times New Roman"/>
          <w:lang w:eastAsia="en-GB"/>
        </w:rPr>
        <w:t xml:space="preserve">In all scenarios, we are recommending the use of a written resource for resuscitation guidelines. </w:t>
      </w:r>
      <w:r w:rsidRPr="00E54A61">
        <w:rPr>
          <w:rFonts w:ascii="Verdana" w:eastAsia="Times New Roman" w:hAnsi="Verdana" w:cs="Times New Roman"/>
          <w:b/>
          <w:lang w:eastAsia="en-GB"/>
        </w:rPr>
        <w:t>The “Paediatric Emergency Medication Book”</w:t>
      </w:r>
      <w:r w:rsidR="008644FE">
        <w:rPr>
          <w:rFonts w:ascii="Verdana" w:eastAsia="Times New Roman" w:hAnsi="Verdana" w:cs="Times New Roman"/>
          <w:lang w:eastAsia="en-GB"/>
        </w:rPr>
        <w:t xml:space="preserve"> from Monash Children’s </w:t>
      </w:r>
      <w:r w:rsidRPr="00E54A61">
        <w:rPr>
          <w:rFonts w:ascii="Verdana" w:eastAsia="Times New Roman" w:hAnsi="Verdana" w:cs="Times New Roman"/>
          <w:lang w:eastAsia="en-GB"/>
        </w:rPr>
        <w:t>is provided, but it should be made clear, that their local guidelines, protocols and resources should be used in their normal practice. The relevant interventions, doses and volumes should be written on the whiteboard – remember this is not a test of calculations but a demonstration of the process they should use in their work environment.</w:t>
      </w:r>
    </w:p>
    <w:p w14:paraId="7C272CAE" w14:textId="77777777" w:rsidR="00A215B8" w:rsidRPr="00073D7E" w:rsidRDefault="00A215B8" w:rsidP="00A215B8">
      <w:pPr>
        <w:autoSpaceDE w:val="0"/>
        <w:autoSpaceDN w:val="0"/>
        <w:adjustRightInd w:val="0"/>
        <w:spacing w:after="0" w:line="240" w:lineRule="auto"/>
        <w:rPr>
          <w:rFonts w:ascii="Verdana" w:hAnsi="Verdana" w:cs="MyriadPro-Regular"/>
          <w:i/>
          <w:sz w:val="24"/>
          <w:szCs w:val="24"/>
        </w:rPr>
      </w:pPr>
    </w:p>
    <w:p w14:paraId="05EA1689" w14:textId="77777777" w:rsidR="00A215B8" w:rsidRDefault="00A215B8" w:rsidP="00A215B8">
      <w:pPr>
        <w:autoSpaceDE w:val="0"/>
        <w:autoSpaceDN w:val="0"/>
        <w:adjustRightInd w:val="0"/>
        <w:spacing w:after="0" w:line="240" w:lineRule="auto"/>
        <w:rPr>
          <w:rFonts w:ascii="Verdana" w:hAnsi="Verdana" w:cs="MyriadPro-Regular"/>
          <w:color w:val="222221"/>
          <w:sz w:val="24"/>
          <w:szCs w:val="24"/>
        </w:rPr>
      </w:pPr>
    </w:p>
    <w:p w14:paraId="006F3B0C" w14:textId="77777777" w:rsidR="00A215B8" w:rsidRDefault="00E54A61" w:rsidP="00E54A61">
      <w:pPr>
        <w:rPr>
          <w:rFonts w:ascii="Verdana" w:hAnsi="Verdana"/>
          <w:b/>
          <w:sz w:val="24"/>
          <w:szCs w:val="24"/>
        </w:rPr>
      </w:pPr>
      <w:r>
        <w:rPr>
          <w:rFonts w:ascii="Verdana" w:hAnsi="Verdana"/>
          <w:b/>
          <w:sz w:val="24"/>
          <w:szCs w:val="24"/>
        </w:rPr>
        <w:t>Facilitating a scenario</w:t>
      </w:r>
      <w:r w:rsidR="00D044D2">
        <w:rPr>
          <w:rFonts w:ascii="Verdana" w:hAnsi="Verdana"/>
          <w:b/>
          <w:sz w:val="24"/>
          <w:szCs w:val="24"/>
        </w:rPr>
        <w:t xml:space="preserve"> – 2 instructors/6 candidates</w:t>
      </w:r>
    </w:p>
    <w:p w14:paraId="4638F474" w14:textId="77777777" w:rsidR="0011323A" w:rsidRPr="0011323A" w:rsidRDefault="002121D6" w:rsidP="00E54A61">
      <w:pPr>
        <w:rPr>
          <w:rFonts w:ascii="Verdana" w:hAnsi="Verdana"/>
          <w:b/>
        </w:rPr>
      </w:pPr>
      <w:r>
        <w:rPr>
          <w:rFonts w:ascii="Verdana" w:hAnsi="Verdana"/>
          <w:b/>
        </w:rPr>
        <w:t>Preparation</w:t>
      </w:r>
    </w:p>
    <w:p w14:paraId="1206EFB8" w14:textId="77777777" w:rsidR="00E54A61" w:rsidRDefault="0011323A" w:rsidP="00E54A61">
      <w:pPr>
        <w:rPr>
          <w:rFonts w:ascii="Verdana" w:hAnsi="Verdana"/>
        </w:rPr>
      </w:pPr>
      <w:r>
        <w:rPr>
          <w:rFonts w:ascii="Verdana" w:hAnsi="Verdana"/>
        </w:rPr>
        <w:t>A</w:t>
      </w:r>
      <w:r w:rsidR="00E54A61">
        <w:rPr>
          <w:rFonts w:ascii="Verdana" w:hAnsi="Verdana"/>
        </w:rPr>
        <w:t>nticipate potential differential diagnoses</w:t>
      </w:r>
      <w:r>
        <w:rPr>
          <w:rFonts w:ascii="Verdana" w:hAnsi="Verdana"/>
        </w:rPr>
        <w:t xml:space="preserve"> for </w:t>
      </w:r>
      <w:r w:rsidR="00D044D2">
        <w:rPr>
          <w:rFonts w:ascii="Verdana" w:hAnsi="Verdana"/>
        </w:rPr>
        <w:t>the</w:t>
      </w:r>
      <w:r>
        <w:rPr>
          <w:rFonts w:ascii="Verdana" w:hAnsi="Verdana"/>
        </w:rPr>
        <w:t xml:space="preserve"> case</w:t>
      </w:r>
      <w:r w:rsidR="00E54A61">
        <w:rPr>
          <w:rFonts w:ascii="Verdana" w:hAnsi="Verdana"/>
        </w:rPr>
        <w:t xml:space="preserve"> so you are prepared for the clinical ob</w:t>
      </w:r>
      <w:r>
        <w:rPr>
          <w:rFonts w:ascii="Verdana" w:hAnsi="Verdana"/>
        </w:rPr>
        <w:t>servations that will assist the candidate</w:t>
      </w:r>
      <w:r w:rsidR="00E54A61">
        <w:rPr>
          <w:rFonts w:ascii="Verdana" w:hAnsi="Verdana"/>
        </w:rPr>
        <w:t xml:space="preserve"> in taking appropriate actions.</w:t>
      </w:r>
    </w:p>
    <w:p w14:paraId="2F27222A" w14:textId="77777777" w:rsidR="00F5502C" w:rsidRDefault="00F5502C" w:rsidP="00E54A61">
      <w:pPr>
        <w:rPr>
          <w:rFonts w:ascii="Verdana" w:hAnsi="Verdana"/>
        </w:rPr>
      </w:pPr>
      <w:r>
        <w:rPr>
          <w:rFonts w:ascii="Verdana" w:hAnsi="Verdana"/>
        </w:rPr>
        <w:t>Check all equipment and run through case with co-facilitator. Clarifying how each will support the other during the running of the individual scenarios.</w:t>
      </w:r>
    </w:p>
    <w:p w14:paraId="0B566134" w14:textId="77777777" w:rsidR="00F5502C" w:rsidRDefault="00F5502C" w:rsidP="00E54A61">
      <w:pPr>
        <w:rPr>
          <w:rFonts w:ascii="Verdana" w:hAnsi="Verdana"/>
        </w:rPr>
      </w:pPr>
      <w:r>
        <w:rPr>
          <w:rFonts w:ascii="Verdana" w:hAnsi="Verdana"/>
        </w:rPr>
        <w:t xml:space="preserve">Consider some form of basic ‘moulage’ with the </w:t>
      </w:r>
      <w:proofErr w:type="gramStart"/>
      <w:r>
        <w:rPr>
          <w:rFonts w:ascii="Verdana" w:hAnsi="Verdana"/>
        </w:rPr>
        <w:t>manikins;</w:t>
      </w:r>
      <w:proofErr w:type="gramEnd"/>
      <w:r>
        <w:rPr>
          <w:rFonts w:ascii="Verdana" w:hAnsi="Verdana"/>
        </w:rPr>
        <w:t xml:space="preserve"> </w:t>
      </w:r>
      <w:proofErr w:type="spellStart"/>
      <w:r>
        <w:rPr>
          <w:rFonts w:ascii="Verdana" w:hAnsi="Verdana"/>
        </w:rPr>
        <w:t>ie</w:t>
      </w:r>
      <w:proofErr w:type="spellEnd"/>
      <w:r>
        <w:rPr>
          <w:rFonts w:ascii="Verdana" w:hAnsi="Verdana"/>
        </w:rPr>
        <w:t xml:space="preserve"> – wrapping a leg in paper towel with red markings, using a piece of clothing to wrap an infant.</w:t>
      </w:r>
    </w:p>
    <w:p w14:paraId="0BDBC75C" w14:textId="77777777" w:rsidR="00F5502C" w:rsidRPr="00F5502C" w:rsidRDefault="002121D6" w:rsidP="00E54A61">
      <w:pPr>
        <w:rPr>
          <w:rFonts w:ascii="Verdana" w:hAnsi="Verdana"/>
          <w:b/>
        </w:rPr>
      </w:pPr>
      <w:r>
        <w:rPr>
          <w:rFonts w:ascii="Verdana" w:hAnsi="Verdana"/>
          <w:b/>
        </w:rPr>
        <w:t>Scenario Teaching Session Set</w:t>
      </w:r>
    </w:p>
    <w:p w14:paraId="097BC222" w14:textId="77777777" w:rsidR="00F5502C" w:rsidRDefault="00F5502C" w:rsidP="00E54A61">
      <w:pPr>
        <w:rPr>
          <w:rFonts w:ascii="Verdana" w:hAnsi="Verdana"/>
        </w:rPr>
      </w:pPr>
      <w:r>
        <w:rPr>
          <w:rFonts w:ascii="Verdana" w:hAnsi="Verdana"/>
        </w:rPr>
        <w:t>Pre-</w:t>
      </w:r>
      <w:r w:rsidR="002121D6">
        <w:rPr>
          <w:rFonts w:ascii="Verdana" w:hAnsi="Verdana"/>
        </w:rPr>
        <w:t>b</w:t>
      </w:r>
      <w:r>
        <w:rPr>
          <w:rFonts w:ascii="Verdana" w:hAnsi="Verdana"/>
        </w:rPr>
        <w:t xml:space="preserve">rief the group, </w:t>
      </w:r>
      <w:r w:rsidR="00496190">
        <w:rPr>
          <w:rFonts w:ascii="Verdana" w:hAnsi="Verdana"/>
        </w:rPr>
        <w:t>outlining</w:t>
      </w:r>
      <w:r>
        <w:rPr>
          <w:rFonts w:ascii="Verdana" w:hAnsi="Verdana"/>
        </w:rPr>
        <w:t xml:space="preserve"> who they are role-playing, the situations they will find themselves, the role of the instructors</w:t>
      </w:r>
      <w:r w:rsidR="00496190">
        <w:rPr>
          <w:rFonts w:ascii="Verdana" w:hAnsi="Verdana"/>
        </w:rPr>
        <w:t xml:space="preserve"> and the role of the assistants.  The assistants will be skilled but take no initiative.  Occasionally the instructors may ‘speak’ for the assistants.</w:t>
      </w:r>
    </w:p>
    <w:p w14:paraId="6BD33E2F" w14:textId="77777777" w:rsidR="00496190" w:rsidRDefault="00496190" w:rsidP="00E54A61">
      <w:pPr>
        <w:rPr>
          <w:rFonts w:ascii="Verdana" w:hAnsi="Verdana"/>
          <w:b/>
        </w:rPr>
      </w:pPr>
    </w:p>
    <w:p w14:paraId="220574E1" w14:textId="77777777" w:rsidR="0011323A" w:rsidRPr="0011323A" w:rsidRDefault="0011323A" w:rsidP="00E54A61">
      <w:pPr>
        <w:rPr>
          <w:rFonts w:ascii="Verdana" w:hAnsi="Verdana"/>
          <w:b/>
        </w:rPr>
      </w:pPr>
      <w:r w:rsidRPr="0011323A">
        <w:rPr>
          <w:rFonts w:ascii="Verdana" w:hAnsi="Verdana"/>
          <w:b/>
        </w:rPr>
        <w:lastRenderedPageBreak/>
        <w:t>Physica</w:t>
      </w:r>
      <w:r w:rsidR="002121D6">
        <w:rPr>
          <w:rFonts w:ascii="Verdana" w:hAnsi="Verdana"/>
          <w:b/>
        </w:rPr>
        <w:t>l Space and Body Language</w:t>
      </w:r>
    </w:p>
    <w:p w14:paraId="4661B37B" w14:textId="77777777" w:rsidR="0011323A" w:rsidRDefault="0011323A" w:rsidP="00E54A61">
      <w:pPr>
        <w:rPr>
          <w:rFonts w:ascii="Verdana" w:hAnsi="Verdana"/>
        </w:rPr>
      </w:pPr>
      <w:r>
        <w:rPr>
          <w:rFonts w:ascii="Verdana" w:hAnsi="Verdana"/>
        </w:rPr>
        <w:t xml:space="preserve">Be aware of your proximity to the candidate.  </w:t>
      </w:r>
      <w:r w:rsidR="00F5502C">
        <w:rPr>
          <w:rFonts w:ascii="Verdana" w:hAnsi="Verdana"/>
        </w:rPr>
        <w:t xml:space="preserve">Do not stand too close. </w:t>
      </w:r>
      <w:r>
        <w:rPr>
          <w:rFonts w:ascii="Verdana" w:hAnsi="Verdana"/>
        </w:rPr>
        <w:t xml:space="preserve">Be open and </w:t>
      </w:r>
      <w:r w:rsidR="008644FE">
        <w:rPr>
          <w:rFonts w:ascii="Verdana" w:hAnsi="Verdana"/>
        </w:rPr>
        <w:t>engaged;</w:t>
      </w:r>
      <w:r>
        <w:rPr>
          <w:rFonts w:ascii="Verdana" w:hAnsi="Verdana"/>
        </w:rPr>
        <w:t xml:space="preserve"> ensure the candidate feels safe and supported.  Demonstrate an investment in the candidate’s </w:t>
      </w:r>
      <w:r w:rsidR="002441B7">
        <w:rPr>
          <w:rFonts w:ascii="Verdana" w:hAnsi="Verdana"/>
        </w:rPr>
        <w:t>clinical performance</w:t>
      </w:r>
      <w:r w:rsidR="009E0BBE">
        <w:rPr>
          <w:rFonts w:ascii="Verdana" w:hAnsi="Verdana"/>
        </w:rPr>
        <w:t>.</w:t>
      </w:r>
    </w:p>
    <w:p w14:paraId="2D2F440F" w14:textId="77777777" w:rsidR="0011323A" w:rsidRPr="0011323A" w:rsidRDefault="0011323A" w:rsidP="00E54A61">
      <w:pPr>
        <w:rPr>
          <w:rFonts w:ascii="Verdana" w:hAnsi="Verdana"/>
          <w:b/>
        </w:rPr>
      </w:pPr>
      <w:r w:rsidRPr="0011323A">
        <w:rPr>
          <w:rFonts w:ascii="Verdana" w:hAnsi="Verdana"/>
          <w:b/>
        </w:rPr>
        <w:t>Personalise the scenari</w:t>
      </w:r>
      <w:r w:rsidR="002121D6">
        <w:rPr>
          <w:rFonts w:ascii="Verdana" w:hAnsi="Verdana"/>
          <w:b/>
        </w:rPr>
        <w:t>o to the candidate</w:t>
      </w:r>
    </w:p>
    <w:p w14:paraId="0952CD24" w14:textId="77777777" w:rsidR="0011323A" w:rsidRDefault="0011323A" w:rsidP="00E54A61">
      <w:pPr>
        <w:rPr>
          <w:rFonts w:ascii="Verdana" w:hAnsi="Verdana"/>
        </w:rPr>
      </w:pPr>
      <w:r>
        <w:rPr>
          <w:rFonts w:ascii="Verdana" w:hAnsi="Verdana"/>
        </w:rPr>
        <w:t>Put them into their hospital/clinical setting and in their current role.  Give the reasons they are the first attender. Describe what resources are/are not available.</w:t>
      </w:r>
    </w:p>
    <w:p w14:paraId="4894A1D0" w14:textId="77777777" w:rsidR="0011323A" w:rsidRPr="0011323A" w:rsidRDefault="002121D6" w:rsidP="00E54A61">
      <w:pPr>
        <w:rPr>
          <w:rFonts w:ascii="Verdana" w:hAnsi="Verdana"/>
          <w:b/>
        </w:rPr>
      </w:pPr>
      <w:r>
        <w:rPr>
          <w:rFonts w:ascii="Verdana" w:hAnsi="Verdana"/>
          <w:b/>
        </w:rPr>
        <w:t>Personalise the patient</w:t>
      </w:r>
    </w:p>
    <w:p w14:paraId="09108A33" w14:textId="77777777" w:rsidR="0011323A" w:rsidRDefault="0011323A" w:rsidP="00E54A61">
      <w:pPr>
        <w:rPr>
          <w:rFonts w:ascii="Verdana" w:hAnsi="Verdana"/>
        </w:rPr>
      </w:pPr>
      <w:r>
        <w:rPr>
          <w:rFonts w:ascii="Verdana" w:hAnsi="Verdana"/>
        </w:rPr>
        <w:t xml:space="preserve">Give a name, along with age – give some personalised information from the ambulance officers, describe the emotional state of the child and parents. </w:t>
      </w:r>
    </w:p>
    <w:p w14:paraId="5A926DA3" w14:textId="77777777" w:rsidR="0011323A" w:rsidRPr="0011323A" w:rsidRDefault="002121D6" w:rsidP="00E54A61">
      <w:pPr>
        <w:rPr>
          <w:rFonts w:ascii="Verdana" w:hAnsi="Verdana"/>
          <w:b/>
        </w:rPr>
      </w:pPr>
      <w:r>
        <w:rPr>
          <w:rFonts w:ascii="Verdana" w:hAnsi="Verdana"/>
          <w:b/>
        </w:rPr>
        <w:t>Focus of attention</w:t>
      </w:r>
    </w:p>
    <w:p w14:paraId="3E84FF60" w14:textId="77777777" w:rsidR="008644FE" w:rsidRDefault="0011323A" w:rsidP="00E54A61">
      <w:pPr>
        <w:rPr>
          <w:rFonts w:ascii="Verdana" w:hAnsi="Verdana"/>
        </w:rPr>
      </w:pPr>
      <w:r>
        <w:rPr>
          <w:rFonts w:ascii="Verdana" w:hAnsi="Verdana"/>
        </w:rPr>
        <w:t>V</w:t>
      </w:r>
      <w:r w:rsidR="00E54A61">
        <w:rPr>
          <w:rFonts w:ascii="Verdana" w:hAnsi="Verdana"/>
        </w:rPr>
        <w:t xml:space="preserve">isualise the </w:t>
      </w:r>
      <w:r w:rsidR="008644FE">
        <w:rPr>
          <w:rFonts w:ascii="Verdana" w:hAnsi="Verdana"/>
        </w:rPr>
        <w:t xml:space="preserve">unwell </w:t>
      </w:r>
      <w:r w:rsidR="00190EDC">
        <w:rPr>
          <w:rFonts w:ascii="Verdana" w:hAnsi="Verdana"/>
        </w:rPr>
        <w:t xml:space="preserve">child </w:t>
      </w:r>
      <w:r>
        <w:rPr>
          <w:rFonts w:ascii="Verdana" w:hAnsi="Verdana"/>
        </w:rPr>
        <w:t>in the emergency department.  Maintain eye f</w:t>
      </w:r>
      <w:r w:rsidR="00E54A61">
        <w:rPr>
          <w:rFonts w:ascii="Verdana" w:hAnsi="Verdana"/>
        </w:rPr>
        <w:t xml:space="preserve">ocus on the manikin and give </w:t>
      </w:r>
      <w:r w:rsidR="00D044D2">
        <w:rPr>
          <w:rFonts w:ascii="Verdana" w:hAnsi="Verdana"/>
        </w:rPr>
        <w:t xml:space="preserve">real time </w:t>
      </w:r>
      <w:r w:rsidR="00E54A61">
        <w:rPr>
          <w:rFonts w:ascii="Verdana" w:hAnsi="Verdana"/>
        </w:rPr>
        <w:t xml:space="preserve">clinical cues in response to the </w:t>
      </w:r>
      <w:r w:rsidR="008644FE">
        <w:rPr>
          <w:rFonts w:ascii="Verdana" w:hAnsi="Verdana"/>
        </w:rPr>
        <w:t>candidate’s</w:t>
      </w:r>
      <w:r w:rsidR="00E54A61">
        <w:rPr>
          <w:rFonts w:ascii="Verdana" w:hAnsi="Verdana"/>
        </w:rPr>
        <w:t xml:space="preserve"> actions (</w:t>
      </w:r>
      <w:proofErr w:type="spellStart"/>
      <w:r w:rsidR="00E54A61">
        <w:rPr>
          <w:rFonts w:ascii="Verdana" w:hAnsi="Verdana"/>
        </w:rPr>
        <w:t>ie</w:t>
      </w:r>
      <w:proofErr w:type="spellEnd"/>
      <w:r w:rsidR="00E54A61">
        <w:rPr>
          <w:rFonts w:ascii="Verdana" w:hAnsi="Verdana"/>
        </w:rPr>
        <w:t xml:space="preserve">: breath sounds when the stethoscope is placed on the chest).  If they ask for a clinical cue, </w:t>
      </w:r>
      <w:r w:rsidR="008644FE">
        <w:rPr>
          <w:rFonts w:ascii="Verdana" w:hAnsi="Verdana"/>
        </w:rPr>
        <w:t>give them that clinical sign to allow them to make a clinical judgement. Ie: saturation is 95% rather than</w:t>
      </w:r>
      <w:r w:rsidR="00E54A61">
        <w:rPr>
          <w:rFonts w:ascii="Verdana" w:hAnsi="Verdana"/>
        </w:rPr>
        <w:t xml:space="preserve"> ‘</w:t>
      </w:r>
      <w:r w:rsidR="00D044D2">
        <w:rPr>
          <w:rFonts w:ascii="Verdana" w:hAnsi="Verdana"/>
        </w:rPr>
        <w:t>it is fine/normal’</w:t>
      </w:r>
      <w:r w:rsidR="00E54A61">
        <w:rPr>
          <w:rFonts w:ascii="Verdana" w:hAnsi="Verdana"/>
        </w:rPr>
        <w:t>.</w:t>
      </w:r>
    </w:p>
    <w:p w14:paraId="0F45D4B4" w14:textId="77777777" w:rsidR="00E54A61" w:rsidRDefault="00D044D2" w:rsidP="00E54A61">
      <w:pPr>
        <w:rPr>
          <w:rFonts w:ascii="Verdana" w:hAnsi="Verdana"/>
        </w:rPr>
      </w:pPr>
      <w:r>
        <w:rPr>
          <w:rFonts w:ascii="Verdana" w:hAnsi="Verdana"/>
        </w:rPr>
        <w:t>Invest in the emotional journey with the candidate as this helps the lifeless manikin seem real.</w:t>
      </w:r>
    </w:p>
    <w:p w14:paraId="04FDB42B" w14:textId="77777777" w:rsidR="00E54A61" w:rsidRDefault="00E54A61" w:rsidP="00E54A61">
      <w:pPr>
        <w:rPr>
          <w:rFonts w:ascii="Verdana" w:hAnsi="Verdana"/>
        </w:rPr>
      </w:pPr>
      <w:r>
        <w:rPr>
          <w:rFonts w:ascii="Verdana" w:hAnsi="Verdana"/>
        </w:rPr>
        <w:t xml:space="preserve">If the </w:t>
      </w:r>
      <w:r w:rsidR="00190EDC">
        <w:rPr>
          <w:rFonts w:ascii="Verdana" w:hAnsi="Verdana"/>
        </w:rPr>
        <w:t xml:space="preserve">candidate requires redirecting, </w:t>
      </w:r>
      <w:r>
        <w:rPr>
          <w:rFonts w:ascii="Verdana" w:hAnsi="Verdana"/>
        </w:rPr>
        <w:t>be the voice of an assistant/colleague</w:t>
      </w:r>
      <w:r w:rsidR="00D044D2">
        <w:rPr>
          <w:rFonts w:ascii="Verdana" w:hAnsi="Verdana"/>
        </w:rPr>
        <w:t xml:space="preserve"> ‘on the scene’, rather than didactic questioning</w:t>
      </w:r>
      <w:r w:rsidR="008644FE">
        <w:rPr>
          <w:rFonts w:ascii="Verdana" w:hAnsi="Verdana"/>
        </w:rPr>
        <w:t xml:space="preserve">. </w:t>
      </w:r>
      <w:r w:rsidR="00D044D2">
        <w:rPr>
          <w:rFonts w:ascii="Verdana" w:hAnsi="Verdana"/>
        </w:rPr>
        <w:t xml:space="preserve">For example:  </w:t>
      </w:r>
      <w:r>
        <w:rPr>
          <w:rFonts w:ascii="Verdana" w:hAnsi="Verdana"/>
        </w:rPr>
        <w:t>‘what tests did you want me to send this blood off for....?’</w:t>
      </w:r>
    </w:p>
    <w:p w14:paraId="13F580A2" w14:textId="77777777" w:rsidR="00D044D2" w:rsidRPr="00D044D2" w:rsidRDefault="002121D6" w:rsidP="00E54A61">
      <w:pPr>
        <w:rPr>
          <w:rFonts w:ascii="Verdana" w:hAnsi="Verdana"/>
          <w:b/>
        </w:rPr>
      </w:pPr>
      <w:r>
        <w:rPr>
          <w:rFonts w:ascii="Verdana" w:hAnsi="Verdana"/>
          <w:b/>
        </w:rPr>
        <w:t>Concluding the scenario</w:t>
      </w:r>
    </w:p>
    <w:p w14:paraId="4C54845E" w14:textId="77777777" w:rsidR="00D044D2" w:rsidRDefault="00D044D2" w:rsidP="00E54A61">
      <w:pPr>
        <w:rPr>
          <w:rFonts w:ascii="Verdana" w:hAnsi="Verdana"/>
        </w:rPr>
      </w:pPr>
      <w:r>
        <w:rPr>
          <w:rFonts w:ascii="Verdana" w:hAnsi="Verdana"/>
        </w:rPr>
        <w:t>Embody a senior clinician arriving on the scene.  Ask for handover and acknowledge the care they’ve given.</w:t>
      </w:r>
    </w:p>
    <w:p w14:paraId="6166E8DB" w14:textId="77777777" w:rsidR="00D044D2" w:rsidRDefault="00D044D2" w:rsidP="00E54A61">
      <w:pPr>
        <w:rPr>
          <w:rFonts w:ascii="Verdana" w:hAnsi="Verdana"/>
        </w:rPr>
      </w:pPr>
      <w:r>
        <w:rPr>
          <w:rFonts w:ascii="Verdana" w:hAnsi="Verdana"/>
        </w:rPr>
        <w:t>Let the candidate know the role play is over and invite them to sit down with the rest of the group</w:t>
      </w:r>
    </w:p>
    <w:p w14:paraId="44000A2D" w14:textId="77777777" w:rsidR="00D044D2" w:rsidRDefault="00D044D2" w:rsidP="00E54A61">
      <w:pPr>
        <w:rPr>
          <w:rFonts w:ascii="Verdana" w:hAnsi="Verdana"/>
          <w:b/>
        </w:rPr>
      </w:pPr>
      <w:r w:rsidRPr="00D044D2">
        <w:rPr>
          <w:rFonts w:ascii="Verdana" w:hAnsi="Verdana"/>
          <w:b/>
        </w:rPr>
        <w:t>Co-facilitator leads the learning conversation</w:t>
      </w:r>
      <w:r w:rsidR="00E23322">
        <w:rPr>
          <w:rFonts w:ascii="Verdana" w:hAnsi="Verdana"/>
          <w:b/>
        </w:rPr>
        <w:t>*</w:t>
      </w:r>
      <w:r>
        <w:rPr>
          <w:rFonts w:ascii="Verdana" w:hAnsi="Verdana"/>
          <w:b/>
        </w:rPr>
        <w:t xml:space="preserve"> for the candidate and the group.</w:t>
      </w:r>
    </w:p>
    <w:p w14:paraId="50933A69" w14:textId="77777777" w:rsidR="00D044D2" w:rsidRPr="00D044D2" w:rsidRDefault="00D044D2" w:rsidP="00D044D2">
      <w:pPr>
        <w:pStyle w:val="ListParagraph"/>
        <w:numPr>
          <w:ilvl w:val="0"/>
          <w:numId w:val="6"/>
        </w:numPr>
        <w:rPr>
          <w:rFonts w:ascii="Verdana" w:hAnsi="Verdana"/>
          <w:b/>
        </w:rPr>
      </w:pPr>
      <w:r w:rsidRPr="00D044D2">
        <w:rPr>
          <w:rFonts w:ascii="Verdana" w:hAnsi="Verdana"/>
          <w:b/>
        </w:rPr>
        <w:t>Invite the candidate to open the conversation</w:t>
      </w:r>
    </w:p>
    <w:p w14:paraId="3B34B4B9" w14:textId="77777777" w:rsidR="00D044D2" w:rsidRDefault="00D044D2" w:rsidP="00D044D2">
      <w:pPr>
        <w:pStyle w:val="ListParagraph"/>
        <w:numPr>
          <w:ilvl w:val="0"/>
          <w:numId w:val="6"/>
        </w:numPr>
        <w:rPr>
          <w:rFonts w:ascii="Verdana" w:hAnsi="Verdana"/>
          <w:b/>
        </w:rPr>
      </w:pPr>
      <w:r w:rsidRPr="00D044D2">
        <w:rPr>
          <w:rFonts w:ascii="Verdana" w:hAnsi="Verdana"/>
          <w:b/>
        </w:rPr>
        <w:t>Explore their issues</w:t>
      </w:r>
      <w:r w:rsidR="00E23322">
        <w:rPr>
          <w:rFonts w:ascii="Verdana" w:hAnsi="Verdana"/>
          <w:b/>
        </w:rPr>
        <w:t xml:space="preserve"> – invite the group to answer the candidate’s questions about the case</w:t>
      </w:r>
    </w:p>
    <w:p w14:paraId="7005EA3B" w14:textId="77777777" w:rsidR="00E23322" w:rsidRDefault="00E23322" w:rsidP="00D044D2">
      <w:pPr>
        <w:pStyle w:val="ListParagraph"/>
        <w:numPr>
          <w:ilvl w:val="0"/>
          <w:numId w:val="6"/>
        </w:numPr>
        <w:rPr>
          <w:rFonts w:ascii="Verdana" w:hAnsi="Verdana"/>
          <w:b/>
        </w:rPr>
      </w:pPr>
      <w:r>
        <w:rPr>
          <w:rFonts w:ascii="Verdana" w:hAnsi="Verdana"/>
          <w:b/>
        </w:rPr>
        <w:t xml:space="preserve">Close with key learning points from </w:t>
      </w:r>
      <w:r w:rsidR="002121D6">
        <w:rPr>
          <w:rFonts w:ascii="Verdana" w:hAnsi="Verdana"/>
          <w:b/>
        </w:rPr>
        <w:t>role play</w:t>
      </w:r>
      <w:r>
        <w:rPr>
          <w:rFonts w:ascii="Verdana" w:hAnsi="Verdana"/>
          <w:b/>
        </w:rPr>
        <w:t xml:space="preserve"> </w:t>
      </w:r>
    </w:p>
    <w:p w14:paraId="2DF7CF26" w14:textId="77777777" w:rsidR="00E23322" w:rsidRDefault="00E23322" w:rsidP="00E23322">
      <w:pPr>
        <w:pStyle w:val="ListParagraph"/>
        <w:rPr>
          <w:rFonts w:ascii="Verdana" w:hAnsi="Verdana"/>
          <w:b/>
        </w:rPr>
      </w:pPr>
    </w:p>
    <w:p w14:paraId="16D2A612" w14:textId="77777777" w:rsidR="00E23322" w:rsidRPr="00E23322" w:rsidRDefault="00E23322" w:rsidP="00E23322">
      <w:pPr>
        <w:pStyle w:val="ListParagraph"/>
        <w:rPr>
          <w:rFonts w:ascii="Verdana" w:hAnsi="Verdana"/>
        </w:rPr>
      </w:pPr>
      <w:r w:rsidRPr="00E23322">
        <w:rPr>
          <w:rFonts w:ascii="Verdana" w:hAnsi="Verdana"/>
        </w:rPr>
        <w:t>See learning conversation video in instructor resources www.apls.org.au</w:t>
      </w:r>
    </w:p>
    <w:p w14:paraId="2A39BC09" w14:textId="77777777" w:rsidR="00496190" w:rsidRPr="00440E92" w:rsidRDefault="00496190" w:rsidP="00440E92">
      <w:pPr>
        <w:rPr>
          <w:rFonts w:ascii="Verdana" w:hAnsi="Verdana"/>
          <w:sz w:val="24"/>
          <w:szCs w:val="24"/>
        </w:rPr>
      </w:pPr>
    </w:p>
    <w:sectPr w:rsidR="00496190" w:rsidRPr="00440E92" w:rsidSect="00440E9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A1C0F" w14:textId="77777777" w:rsidR="00DE3EEA" w:rsidRDefault="00DE3EEA" w:rsidP="006F3AE9">
      <w:pPr>
        <w:spacing w:after="0" w:line="240" w:lineRule="auto"/>
      </w:pPr>
      <w:r>
        <w:separator/>
      </w:r>
    </w:p>
  </w:endnote>
  <w:endnote w:type="continuationSeparator" w:id="0">
    <w:p w14:paraId="0BC73EEF" w14:textId="77777777" w:rsidR="00DE3EEA" w:rsidRDefault="00DE3EEA" w:rsidP="006F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yriadPro-Bold">
    <w:panose1 w:val="020B0604020202020204"/>
    <w:charset w:val="00"/>
    <w:family w:val="auto"/>
    <w:pitch w:val="default"/>
    <w:sig w:usb0="00000003" w:usb1="00000000" w:usb2="00000000" w:usb3="00000000" w:csb0="00000001" w:csb1="00000000"/>
  </w:font>
  <w:font w:name="MyriadPro-Regular">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5906" w14:textId="77777777" w:rsidR="00F5502C" w:rsidRDefault="006F304D" w:rsidP="009E0BBE">
    <w:pPr>
      <w:pStyle w:val="Footer"/>
      <w:framePr w:wrap="around" w:vAnchor="text" w:hAnchor="margin" w:xAlign="right" w:y="1"/>
      <w:rPr>
        <w:rStyle w:val="PageNumber"/>
      </w:rPr>
    </w:pPr>
    <w:r>
      <w:rPr>
        <w:rStyle w:val="PageNumber"/>
      </w:rPr>
      <w:fldChar w:fldCharType="begin"/>
    </w:r>
    <w:r w:rsidR="00F5502C">
      <w:rPr>
        <w:rStyle w:val="PageNumber"/>
      </w:rPr>
      <w:instrText xml:space="preserve">PAGE  </w:instrText>
    </w:r>
    <w:r>
      <w:rPr>
        <w:rStyle w:val="PageNumber"/>
      </w:rPr>
      <w:fldChar w:fldCharType="end"/>
    </w:r>
  </w:p>
  <w:p w14:paraId="74BBF64C" w14:textId="77777777" w:rsidR="00F5502C" w:rsidRDefault="00F5502C" w:rsidP="009E0B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B27A2" w14:textId="77777777" w:rsidR="00F5502C" w:rsidRDefault="006F304D" w:rsidP="009E0BBE">
    <w:pPr>
      <w:pStyle w:val="Footer"/>
      <w:framePr w:wrap="around" w:vAnchor="text" w:hAnchor="page" w:x="9721" w:y="-20"/>
      <w:rPr>
        <w:rStyle w:val="PageNumber"/>
      </w:rPr>
    </w:pPr>
    <w:r>
      <w:rPr>
        <w:rStyle w:val="PageNumber"/>
      </w:rPr>
      <w:fldChar w:fldCharType="begin"/>
    </w:r>
    <w:r w:rsidR="00F5502C">
      <w:rPr>
        <w:rStyle w:val="PageNumber"/>
      </w:rPr>
      <w:instrText xml:space="preserve">PAGE  </w:instrText>
    </w:r>
    <w:r>
      <w:rPr>
        <w:rStyle w:val="PageNumber"/>
      </w:rPr>
      <w:fldChar w:fldCharType="separate"/>
    </w:r>
    <w:r w:rsidR="00C13148">
      <w:rPr>
        <w:rStyle w:val="PageNumber"/>
        <w:noProof/>
      </w:rPr>
      <w:t>1</w:t>
    </w:r>
    <w:r>
      <w:rPr>
        <w:rStyle w:val="PageNumber"/>
      </w:rPr>
      <w:fldChar w:fldCharType="end"/>
    </w:r>
  </w:p>
  <w:p w14:paraId="552C1990" w14:textId="77777777" w:rsidR="00F5502C" w:rsidRDefault="00F5502C" w:rsidP="009E0BBE">
    <w:pPr>
      <w:pStyle w:val="Footer"/>
      <w:ind w:right="360"/>
      <w:jc w:val="right"/>
    </w:pP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E483" w14:textId="77777777" w:rsidR="00B61386" w:rsidRDefault="00B6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40FC5" w14:textId="77777777" w:rsidR="00DE3EEA" w:rsidRDefault="00DE3EEA" w:rsidP="006F3AE9">
      <w:pPr>
        <w:spacing w:after="0" w:line="240" w:lineRule="auto"/>
      </w:pPr>
      <w:r>
        <w:separator/>
      </w:r>
    </w:p>
  </w:footnote>
  <w:footnote w:type="continuationSeparator" w:id="0">
    <w:p w14:paraId="74F00463" w14:textId="77777777" w:rsidR="00DE3EEA" w:rsidRDefault="00DE3EEA" w:rsidP="006F3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ACB98" w14:textId="77777777" w:rsidR="00F5502C" w:rsidRDefault="00F55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8BB27" w14:textId="53EC8F9A" w:rsidR="00F5502C" w:rsidRDefault="00F5502C">
    <w:pPr>
      <w:pStyle w:val="Header"/>
      <w:rPr>
        <w:rFonts w:ascii="Verdana" w:hAnsi="Verdana"/>
        <w:color w:val="7F7F7F"/>
      </w:rPr>
    </w:pPr>
    <w:r w:rsidRPr="009E0BBE">
      <w:rPr>
        <w:rFonts w:ascii="Verdana" w:hAnsi="Verdana"/>
        <w:noProof/>
        <w:color w:val="7F7F7F"/>
        <w:lang w:eastAsia="en-AU"/>
      </w:rPr>
      <w:drawing>
        <wp:anchor distT="0" distB="0" distL="114300" distR="114300" simplePos="0" relativeHeight="251658240" behindDoc="1" locked="0" layoutInCell="1" allowOverlap="1" wp14:anchorId="6F052B75" wp14:editId="34611533">
          <wp:simplePos x="0" y="0"/>
          <wp:positionH relativeFrom="column">
            <wp:posOffset>4983480</wp:posOffset>
          </wp:positionH>
          <wp:positionV relativeFrom="paragraph">
            <wp:posOffset>-260985</wp:posOffset>
          </wp:positionV>
          <wp:extent cx="1104900" cy="662305"/>
          <wp:effectExtent l="19050" t="0" r="0" b="0"/>
          <wp:wrapSquare wrapText="bothSides"/>
          <wp:docPr id="3" name="Picture 2" descr="9101 APLS Final 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01 APLS Final Logo_MAIN"/>
                  <pic:cNvPicPr>
                    <a:picLocks noChangeAspect="1" noChangeArrowheads="1"/>
                  </pic:cNvPicPr>
                </pic:nvPicPr>
                <pic:blipFill>
                  <a:blip r:embed="rId1"/>
                  <a:srcRect/>
                  <a:stretch>
                    <a:fillRect/>
                  </a:stretch>
                </pic:blipFill>
                <pic:spPr bwMode="auto">
                  <a:xfrm>
                    <a:off x="0" y="0"/>
                    <a:ext cx="1104900" cy="662305"/>
                  </a:xfrm>
                  <a:prstGeom prst="rect">
                    <a:avLst/>
                  </a:prstGeom>
                  <a:noFill/>
                  <a:ln w="9525">
                    <a:noFill/>
                    <a:miter lim="800000"/>
                    <a:headEnd/>
                    <a:tailEnd/>
                  </a:ln>
                </pic:spPr>
              </pic:pic>
            </a:graphicData>
          </a:graphic>
        </wp:anchor>
      </w:drawing>
    </w:r>
    <w:r w:rsidRPr="009E0BBE">
      <w:rPr>
        <w:rFonts w:ascii="Verdana" w:hAnsi="Verdana"/>
        <w:color w:val="7F7F7F"/>
      </w:rPr>
      <w:t xml:space="preserve">APLS </w:t>
    </w:r>
    <w:r w:rsidR="00D02380">
      <w:rPr>
        <w:rFonts w:ascii="Verdana" w:hAnsi="Verdana"/>
        <w:color w:val="7F7F7F"/>
      </w:rPr>
      <w:t>7</w:t>
    </w:r>
    <w:r w:rsidRPr="009E0BBE">
      <w:rPr>
        <w:rFonts w:ascii="Verdana" w:hAnsi="Verdana"/>
        <w:color w:val="7F7F7F"/>
        <w:vertAlign w:val="superscript"/>
      </w:rPr>
      <w:t>th</w:t>
    </w:r>
    <w:r w:rsidRPr="009E0BBE">
      <w:rPr>
        <w:rFonts w:ascii="Verdana" w:hAnsi="Verdana"/>
        <w:color w:val="7F7F7F"/>
      </w:rPr>
      <w:t xml:space="preserve"> Edition F2F Course Materials</w:t>
    </w:r>
  </w:p>
  <w:p w14:paraId="4C109D2F" w14:textId="77777777" w:rsidR="00F5502C" w:rsidRPr="009E0BBE" w:rsidRDefault="00F5502C">
    <w:pPr>
      <w:pStyle w:val="Header"/>
      <w:rPr>
        <w:rFonts w:ascii="Verdana" w:hAnsi="Verdana"/>
        <w:color w:val="7F7F7F"/>
      </w:rPr>
    </w:pPr>
    <w:r>
      <w:rPr>
        <w:rFonts w:ascii="Verdana" w:hAnsi="Verdana"/>
        <w:color w:val="7F7F7F"/>
      </w:rPr>
      <w:t xml:space="preserve">Resources for Instructors – </w:t>
    </w:r>
    <w:r w:rsidR="002121D6">
      <w:rPr>
        <w:rFonts w:ascii="Verdana" w:hAnsi="Verdana"/>
        <w:color w:val="7F7F7F"/>
      </w:rPr>
      <w:t>Facilitating Scenarios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9EEFF" w14:textId="77777777" w:rsidR="00F5502C" w:rsidRDefault="00F55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509A5"/>
    <w:multiLevelType w:val="hybridMultilevel"/>
    <w:tmpl w:val="4AB80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530CF7"/>
    <w:multiLevelType w:val="hybridMultilevel"/>
    <w:tmpl w:val="49280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506544"/>
    <w:multiLevelType w:val="hybridMultilevel"/>
    <w:tmpl w:val="6832E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A14A63"/>
    <w:multiLevelType w:val="hybridMultilevel"/>
    <w:tmpl w:val="0AD277A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15:restartNumberingAfterBreak="0">
    <w:nsid w:val="6AB03711"/>
    <w:multiLevelType w:val="hybridMultilevel"/>
    <w:tmpl w:val="974E1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2823F2"/>
    <w:multiLevelType w:val="hybridMultilevel"/>
    <w:tmpl w:val="71DC8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2192774">
    <w:abstractNumId w:val="1"/>
  </w:num>
  <w:num w:numId="2" w16cid:durableId="903494584">
    <w:abstractNumId w:val="4"/>
  </w:num>
  <w:num w:numId="3" w16cid:durableId="2134054127">
    <w:abstractNumId w:val="0"/>
  </w:num>
  <w:num w:numId="4" w16cid:durableId="2087148010">
    <w:abstractNumId w:val="5"/>
  </w:num>
  <w:num w:numId="5" w16cid:durableId="1508596937">
    <w:abstractNumId w:val="3"/>
  </w:num>
  <w:num w:numId="6" w16cid:durableId="1731465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E9"/>
    <w:rsid w:val="00073D7E"/>
    <w:rsid w:val="000A19D0"/>
    <w:rsid w:val="0011323A"/>
    <w:rsid w:val="00190EDC"/>
    <w:rsid w:val="002121D6"/>
    <w:rsid w:val="00213A88"/>
    <w:rsid w:val="002441B7"/>
    <w:rsid w:val="0033195E"/>
    <w:rsid w:val="003D277C"/>
    <w:rsid w:val="00440E92"/>
    <w:rsid w:val="004715CD"/>
    <w:rsid w:val="00496190"/>
    <w:rsid w:val="004F47BB"/>
    <w:rsid w:val="006F304D"/>
    <w:rsid w:val="006F3AE9"/>
    <w:rsid w:val="008627DB"/>
    <w:rsid w:val="008644FE"/>
    <w:rsid w:val="009B17FD"/>
    <w:rsid w:val="009E0BBE"/>
    <w:rsid w:val="00A215B8"/>
    <w:rsid w:val="00A54015"/>
    <w:rsid w:val="00B61386"/>
    <w:rsid w:val="00C13148"/>
    <w:rsid w:val="00CC424D"/>
    <w:rsid w:val="00D02380"/>
    <w:rsid w:val="00D044D2"/>
    <w:rsid w:val="00DE3EEA"/>
    <w:rsid w:val="00E23322"/>
    <w:rsid w:val="00E54A61"/>
    <w:rsid w:val="00E570B3"/>
    <w:rsid w:val="00F550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882FFE"/>
  <w15:docId w15:val="{9A40BDC2-242A-454A-9199-B11DD93A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AE9"/>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rsid w:val="006F3AE9"/>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6F3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AE9"/>
  </w:style>
  <w:style w:type="table" w:styleId="TableGrid">
    <w:name w:val="Table Grid"/>
    <w:basedOn w:val="TableNormal"/>
    <w:uiPriority w:val="59"/>
    <w:rsid w:val="006F3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7FD"/>
    <w:pPr>
      <w:ind w:left="720"/>
      <w:contextualSpacing/>
    </w:pPr>
  </w:style>
  <w:style w:type="character" w:styleId="PageNumber">
    <w:name w:val="page number"/>
    <w:basedOn w:val="DefaultParagraphFont"/>
    <w:uiPriority w:val="99"/>
    <w:semiHidden/>
    <w:unhideWhenUsed/>
    <w:rsid w:val="009E0BBE"/>
  </w:style>
  <w:style w:type="paragraph" w:styleId="Revision">
    <w:name w:val="Revision"/>
    <w:hidden/>
    <w:uiPriority w:val="99"/>
    <w:semiHidden/>
    <w:rsid w:val="009E0BBE"/>
    <w:pPr>
      <w:spacing w:after="0" w:line="240" w:lineRule="auto"/>
    </w:pPr>
  </w:style>
  <w:style w:type="paragraph" w:styleId="BalloonText">
    <w:name w:val="Balloon Text"/>
    <w:basedOn w:val="Normal"/>
    <w:link w:val="BalloonTextChar"/>
    <w:uiPriority w:val="99"/>
    <w:semiHidden/>
    <w:unhideWhenUsed/>
    <w:rsid w:val="009E0B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B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91f460-6f54-4286-ad54-c44c93e1d7e8" xsi:nil="true"/>
    <lcf76f155ced4ddcb4097134ff3c332f xmlns="db5422e6-9a8a-4cfc-8f83-318cb0c46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5E1E16F145F408CF9D9286F765813" ma:contentTypeVersion="15" ma:contentTypeDescription="Create a new document." ma:contentTypeScope="" ma:versionID="567c7427e570342535a55ece6bff896f">
  <xsd:schema xmlns:xsd="http://www.w3.org/2001/XMLSchema" xmlns:xs="http://www.w3.org/2001/XMLSchema" xmlns:p="http://schemas.microsoft.com/office/2006/metadata/properties" xmlns:ns2="db5422e6-9a8a-4cfc-8f83-318cb0c4622d" xmlns:ns3="1b91f460-6f54-4286-ad54-c44c93e1d7e8" targetNamespace="http://schemas.microsoft.com/office/2006/metadata/properties" ma:root="true" ma:fieldsID="06554c36b75f9c9c0e72581a5c2d8fbe" ns2:_="" ns3:_="">
    <xsd:import namespace="db5422e6-9a8a-4cfc-8f83-318cb0c4622d"/>
    <xsd:import namespace="1b91f460-6f54-4286-ad54-c44c93e1d7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422e6-9a8a-4cfc-8f83-318cb0c4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71174-41a5-4bc0-a2af-627ca659706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91f460-6f54-4286-ad54-c44c93e1d7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fb7a39-5ee1-41c6-8dab-22dd9c8e2b5f}" ma:internalName="TaxCatchAll" ma:showField="CatchAllData" ma:web="1b91f460-6f54-4286-ad54-c44c93e1d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DB746-4160-4EA3-9B6E-8EE0E781C866}">
  <ds:schemaRefs>
    <ds:schemaRef ds:uri="http://schemas.microsoft.com/office/2006/metadata/properties"/>
    <ds:schemaRef ds:uri="http://schemas.microsoft.com/office/infopath/2007/PartnerControls"/>
    <ds:schemaRef ds:uri="1b91f460-6f54-4286-ad54-c44c93e1d7e8"/>
    <ds:schemaRef ds:uri="db5422e6-9a8a-4cfc-8f83-318cb0c4622d"/>
  </ds:schemaRefs>
</ds:datastoreItem>
</file>

<file path=customXml/itemProps2.xml><?xml version="1.0" encoding="utf-8"?>
<ds:datastoreItem xmlns:ds="http://schemas.openxmlformats.org/officeDocument/2006/customXml" ds:itemID="{0496FBA9-0A9A-45CF-93E7-33E8F819C455}">
  <ds:schemaRefs>
    <ds:schemaRef ds:uri="http://schemas.microsoft.com/sharepoint/v3/contenttype/forms"/>
  </ds:schemaRefs>
</ds:datastoreItem>
</file>

<file path=customXml/itemProps3.xml><?xml version="1.0" encoding="utf-8"?>
<ds:datastoreItem xmlns:ds="http://schemas.openxmlformats.org/officeDocument/2006/customXml" ds:itemID="{38704979-59A2-4BCE-A8AF-7D8B1744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422e6-9a8a-4cfc-8f83-318cb0c4622d"/>
    <ds:schemaRef ds:uri="1b91f460-6f54-4286-ad54-c44c93e1d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janes</dc:creator>
  <cp:lastModifiedBy>Noel Roberts</cp:lastModifiedBy>
  <cp:revision>3</cp:revision>
  <cp:lastPrinted>2022-05-30T04:31:00Z</cp:lastPrinted>
  <dcterms:created xsi:type="dcterms:W3CDTF">2024-12-18T00:35:00Z</dcterms:created>
  <dcterms:modified xsi:type="dcterms:W3CDTF">2024-12-18T00:36:00Z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0x0101002D35E1E16F145F408CF9D9286F765813</vt:lpwstr>
  </property>
  <property fmtid="{D5CDD505-2E9C-101B-9397-08002B2CF9AE}" pid="3" name="Order">
    <vt:r8>6920800</vt:r8>
  </property>
</Properties>
</file>